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ECAE" w14:textId="77777777" w:rsidR="00886875" w:rsidRPr="00886875" w:rsidRDefault="00886875" w:rsidP="0088687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868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82AD0EA" wp14:editId="5D9D84B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740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868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CAB04F6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868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07E14D" w14:textId="34659921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868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5AEC1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86875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88687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8868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1EF849" w14:textId="66EDDE15" w:rsidR="00886875" w:rsidRPr="00886875" w:rsidRDefault="00886875" w:rsidP="0088687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88687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B7A25">
        <w:rPr>
          <w:rFonts w:ascii="Century" w:eastAsia="Calibri" w:hAnsi="Century"/>
          <w:b/>
          <w:sz w:val="32"/>
          <w:szCs w:val="32"/>
          <w:lang w:eastAsia="ru-RU"/>
        </w:rPr>
        <w:t>23/37-6440</w:t>
      </w:r>
    </w:p>
    <w:p w14:paraId="2727AD29" w14:textId="77777777" w:rsidR="00886875" w:rsidRPr="00886875" w:rsidRDefault="00886875" w:rsidP="0088687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86875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E7E8E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E7E8E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4F462513" w:rsidR="00497767" w:rsidRPr="007E7E8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E7E8E">
        <w:rPr>
          <w:rFonts w:ascii="Century" w:hAnsi="Century"/>
          <w:sz w:val="28"/>
          <w:szCs w:val="28"/>
          <w:lang w:eastAsia="uk-UA"/>
        </w:rPr>
        <w:t>1-2024 роки</w:t>
      </w:r>
      <w:r w:rsidRPr="007E7E8E">
        <w:rPr>
          <w:rFonts w:ascii="Century" w:hAnsi="Century"/>
          <w:sz w:val="28"/>
          <w:szCs w:val="28"/>
          <w:lang w:eastAsia="uk-UA"/>
        </w:rPr>
        <w:t>,  з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F46107" w:rsidRPr="007E7E8E">
        <w:rPr>
          <w:rFonts w:ascii="Century" w:hAnsi="Century"/>
          <w:sz w:val="28"/>
          <w:szCs w:val="28"/>
          <w:lang w:eastAsia="uk-UA"/>
        </w:rPr>
        <w:t>’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E7E8E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E7E8E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E7E8E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E7E8E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E7E8E" w:rsidRDefault="00497767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E7E8E">
        <w:rPr>
          <w:rFonts w:ascii="Century" w:hAnsi="Century"/>
          <w:sz w:val="28"/>
          <w:szCs w:val="28"/>
          <w:lang w:eastAsia="uk-UA"/>
        </w:rPr>
        <w:t>до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E7E8E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sz w:val="28"/>
          <w:szCs w:val="28"/>
          <w:lang w:eastAsia="uk-UA"/>
        </w:rPr>
        <w:t>1</w:t>
      </w:r>
      <w:r w:rsidR="00AB4989" w:rsidRPr="007E7E8E">
        <w:rPr>
          <w:rFonts w:ascii="Century" w:hAnsi="Century"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sz w:val="28"/>
          <w:szCs w:val="28"/>
          <w:lang w:eastAsia="uk-UA"/>
        </w:rPr>
        <w:t>4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E7E8E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E7E8E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41B04DE" w:rsidR="00AB4989" w:rsidRPr="007E7E8E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1.1.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F46107" w:rsidRPr="007E7E8E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F46107" w:rsidRPr="007E7E8E">
        <w:rPr>
          <w:rFonts w:ascii="Century" w:hAnsi="Century"/>
          <w:sz w:val="28"/>
          <w:szCs w:val="28"/>
          <w:lang w:eastAsia="uk-UA"/>
        </w:rPr>
        <w:t xml:space="preserve"> зміни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у план заходів програми  на 202</w:t>
      </w:r>
      <w:r w:rsidR="000E2F45" w:rsidRPr="007E7E8E">
        <w:rPr>
          <w:rFonts w:ascii="Century" w:hAnsi="Century"/>
          <w:sz w:val="28"/>
          <w:szCs w:val="28"/>
          <w:lang w:eastAsia="uk-UA"/>
        </w:rPr>
        <w:t>3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E7E8E">
        <w:rPr>
          <w:rFonts w:ascii="Century" w:hAnsi="Century"/>
          <w:sz w:val="28"/>
          <w:szCs w:val="28"/>
          <w:lang w:eastAsia="uk-UA"/>
        </w:rPr>
        <w:t>ік</w:t>
      </w:r>
      <w:r w:rsidRPr="007E7E8E">
        <w:rPr>
          <w:rFonts w:ascii="Century" w:hAnsi="Century"/>
          <w:sz w:val="28"/>
          <w:szCs w:val="28"/>
          <w:lang w:eastAsia="uk-UA"/>
        </w:rPr>
        <w:t>,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E7E8E">
        <w:rPr>
          <w:rFonts w:ascii="Century" w:hAnsi="Century"/>
          <w:sz w:val="28"/>
          <w:szCs w:val="28"/>
          <w:lang w:eastAsia="uk-UA"/>
        </w:rPr>
        <w:t>.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E7E8E" w:rsidRDefault="000E2F45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2</w:t>
      </w:r>
      <w:r w:rsidR="006117F6" w:rsidRPr="007E7E8E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E7E8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E7E8E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E7E8E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7E7E8E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E7E8E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7064271B" w:rsidR="00696FF9" w:rsidRPr="007E7E8E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7E7E8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4D3D1A8A" w14:textId="77777777" w:rsidR="00696FF9" w:rsidRPr="007E7E8E" w:rsidRDefault="00696FF9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6BA012C8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7E7E8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76FD6B67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58129F78" w:rsidR="00696FF9" w:rsidRPr="007E7E8E" w:rsidRDefault="00886875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16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</w:t>
      </w:r>
      <w:r w:rsidRPr="007E7E8E">
        <w:rPr>
          <w:rFonts w:ascii="Century" w:eastAsia="Courier New" w:hAnsi="Century" w:cs="Courier New"/>
          <w:bCs/>
          <w:color w:val="000000"/>
          <w:lang w:eastAsia="en-US"/>
        </w:rPr>
        <w:t>10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.2023</w:t>
      </w:r>
      <w:r w:rsidR="00696FF9" w:rsidRPr="007E7E8E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FB7A25">
        <w:rPr>
          <w:rFonts w:ascii="Century" w:eastAsia="Courier New" w:hAnsi="Century" w:cs="Courier New"/>
          <w:bCs/>
          <w:color w:val="000000"/>
          <w:lang w:eastAsia="en-US"/>
        </w:rPr>
        <w:t>23/37-6440</w:t>
      </w:r>
    </w:p>
    <w:p w14:paraId="56A95092" w14:textId="77777777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</w:p>
    <w:p w14:paraId="3643AEA4" w14:textId="507DB1F3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Зміни у План заходів</w:t>
      </w:r>
    </w:p>
    <w:p w14:paraId="730E4C38" w14:textId="28DC46D1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 на 2021-2024 роки </w:t>
      </w:r>
    </w:p>
    <w:p w14:paraId="5F29399D" w14:textId="77777777" w:rsidR="00696FF9" w:rsidRPr="007E7E8E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1468"/>
        <w:gridCol w:w="1872"/>
        <w:gridCol w:w="1008"/>
        <w:gridCol w:w="1181"/>
        <w:gridCol w:w="992"/>
        <w:gridCol w:w="1103"/>
        <w:gridCol w:w="815"/>
        <w:gridCol w:w="911"/>
      </w:tblGrid>
      <w:tr w:rsidR="00886875" w:rsidRPr="007E7E8E" w14:paraId="253B83A5" w14:textId="77777777" w:rsidTr="00444093">
        <w:trPr>
          <w:trHeight w:hRule="exact" w:val="923"/>
          <w:jc w:val="center"/>
        </w:trPr>
        <w:tc>
          <w:tcPr>
            <w:tcW w:w="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67182" w14:textId="77777777" w:rsidR="00886875" w:rsidRPr="007E7E8E" w:rsidRDefault="00886875" w:rsidP="003B3AFC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 xml:space="preserve">№ </w:t>
            </w: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з/п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D3BED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0D9A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B8EF3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Строк виконання заходу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7D697" w14:textId="77777777" w:rsidR="00886875" w:rsidRPr="007E7E8E" w:rsidRDefault="00886875" w:rsidP="003B3AFC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Джерела фінансування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068A6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</w:rPr>
            </w:pPr>
            <w:proofErr w:type="spellStart"/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>Орієнтовні</w:t>
            </w:r>
            <w:proofErr w:type="spellEnd"/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), гривень</w:t>
            </w:r>
          </w:p>
        </w:tc>
      </w:tr>
      <w:tr w:rsidR="00886875" w:rsidRPr="007E7E8E" w14:paraId="7E6FC3CB" w14:textId="77777777" w:rsidTr="00444093">
        <w:trPr>
          <w:trHeight w:val="194"/>
          <w:jc w:val="center"/>
        </w:trPr>
        <w:tc>
          <w:tcPr>
            <w:tcW w:w="2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361486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BE52BC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78F274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FA253B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32125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CB8B0A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2023р.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1EF8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В тому числі</w:t>
            </w:r>
          </w:p>
        </w:tc>
      </w:tr>
      <w:tr w:rsidR="00886875" w:rsidRPr="007E7E8E" w14:paraId="7D64B482" w14:textId="77777777" w:rsidTr="00444093">
        <w:trPr>
          <w:trHeight w:hRule="exact" w:val="193"/>
          <w:jc w:val="center"/>
        </w:trPr>
        <w:tc>
          <w:tcPr>
            <w:tcW w:w="2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B73F34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007C7E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B4B600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B7221A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3FBE9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409E3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C3E0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Городок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56AD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Комарно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0861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proofErr w:type="spellStart"/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В.Любінь</w:t>
            </w:r>
            <w:proofErr w:type="spellEnd"/>
          </w:p>
        </w:tc>
      </w:tr>
      <w:tr w:rsidR="00886875" w:rsidRPr="007E7E8E" w14:paraId="67B2E5F8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DA1D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1</w:t>
            </w:r>
            <w:r w:rsidRPr="007E7E8E">
              <w:rPr>
                <w:rStyle w:val="95pt"/>
                <w:rFonts w:ascii="Century" w:hAnsi="Century"/>
                <w:sz w:val="20"/>
                <w:szCs w:val="20"/>
                <w:lang w:val="uk-UA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539D0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7D201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обовязкове</w:t>
            </w:r>
            <w:proofErr w:type="spellEnd"/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 xml:space="preserve"> державне соціальне страхування</w:t>
            </w:r>
          </w:p>
          <w:p w14:paraId="1B604A5B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13E4D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0077C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BEF0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058D7DE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0235CF6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2068427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207A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3DBA98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D031AB9" w14:textId="77777777" w:rsidR="00886875" w:rsidRPr="007E7E8E" w:rsidRDefault="00886875" w:rsidP="003B3AFC">
            <w:pPr>
              <w:rPr>
                <w:rFonts w:ascii="Century" w:hAnsi="Century"/>
                <w:b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1932472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50904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6D7C82E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F274B9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B2F7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A841F2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38F69B5C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135955</w:t>
            </w:r>
          </w:p>
        </w:tc>
      </w:tr>
      <w:tr w:rsidR="00886875" w:rsidRPr="007E7E8E" w14:paraId="04887553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D5B38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2.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16469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5EDA7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B13E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69461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7077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5AD5F283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5CC571B7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3004000</w:t>
            </w:r>
          </w:p>
          <w:p w14:paraId="1DA8696D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13C4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3D15580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3004000</w:t>
            </w:r>
          </w:p>
          <w:p w14:paraId="76DE807E" w14:textId="0C18E959" w:rsidR="00886875" w:rsidRPr="007E7E8E" w:rsidRDefault="008E4DE1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>
              <w:rPr>
                <w:rFonts w:ascii="Century" w:hAnsi="Century"/>
                <w:b/>
                <w:sz w:val="20"/>
                <w:szCs w:val="20"/>
                <w:lang w:val="ru-RU"/>
              </w:rPr>
              <w:t>+40000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4695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938E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4D01865F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99340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3.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2A42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0B5A8" w14:textId="77777777" w:rsidR="00886875" w:rsidRPr="007E7E8E" w:rsidRDefault="00886875" w:rsidP="00886875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5A2B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FC7D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1F432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71E1F661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04B5EDBD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505600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E20E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5F2504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BFEC3BC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315600</w:t>
            </w:r>
          </w:p>
          <w:p w14:paraId="17A7B427" w14:textId="4AD04009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+1</w:t>
            </w:r>
            <w:r w:rsidR="008E4DE1">
              <w:rPr>
                <w:rFonts w:ascii="Century" w:hAnsi="Century"/>
                <w:b/>
                <w:sz w:val="20"/>
                <w:szCs w:val="20"/>
                <w:lang w:val="ru-RU"/>
              </w:rPr>
              <w:t>5</w:t>
            </w: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7002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CC22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28C2528C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CBE6E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4.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26C9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C7C2D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оплата за поточний ремонт приміщень та інших послуг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4A15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E5C07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D2EB7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767608D5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293DBD67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340700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7F32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0581E1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F87736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340700</w:t>
            </w:r>
          </w:p>
          <w:p w14:paraId="3A624953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3BD02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6D6FD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1750F12B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585E6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5.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E958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Продукти харчування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A649B" w14:textId="77777777" w:rsidR="00886875" w:rsidRPr="007E7E8E" w:rsidRDefault="00886875" w:rsidP="00886875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Оплата за продукти харчування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279F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6CC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FB2A2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0DA4CE5E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068D93A4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180000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5A37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563DD2F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1CD4394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673AC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0524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311D232C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0B8C5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6.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D0F3F" w14:textId="77777777" w:rsidR="00886875" w:rsidRPr="007E7E8E" w:rsidRDefault="00886875" w:rsidP="003B3AFC">
            <w:pPr>
              <w:pStyle w:val="11"/>
              <w:shd w:val="clear" w:color="auto" w:fill="auto"/>
              <w:spacing w:after="12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енергоносіїв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A7C6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, природного газу, </w:t>
            </w: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lastRenderedPageBreak/>
              <w:t xml:space="preserve">оплата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7202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8A3F4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  <w:p w14:paraId="789674D2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C8A6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F279EC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E0281E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8678262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E0CFB" w14:textId="77777777" w:rsidR="00886875" w:rsidRPr="007E7E8E" w:rsidRDefault="00886875" w:rsidP="003B3AF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1484A40C" w14:textId="77777777" w:rsidR="00886875" w:rsidRPr="007E7E8E" w:rsidRDefault="00886875" w:rsidP="003B3AF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3F960FF0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8678262</w:t>
            </w:r>
          </w:p>
          <w:p w14:paraId="7AEE5123" w14:textId="77777777" w:rsidR="00886875" w:rsidRPr="007E7E8E" w:rsidRDefault="00886875" w:rsidP="003B3AFC">
            <w:pPr>
              <w:rPr>
                <w:rFonts w:ascii="Century" w:hAnsi="Century"/>
                <w:b/>
                <w:sz w:val="22"/>
                <w:szCs w:val="22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B9B96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97C845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8ECBB1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24CE0" w14:textId="77777777" w:rsidR="00886875" w:rsidRPr="007E7E8E" w:rsidRDefault="00886875" w:rsidP="003B3AFC">
            <w:pPr>
              <w:jc w:val="right"/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ADC205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9D08F7A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</w:tr>
      <w:tr w:rsidR="00886875" w:rsidRPr="007E7E8E" w14:paraId="43C4ADAE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B1F62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7.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FC8A0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Соціальне забезпечення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04351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3662D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9E78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33E6E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3EDDD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DD0B5A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2766334,26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A4E0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7123241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C2BF31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9EC3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16879D4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BA94F2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A63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5FA8C520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89F567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85152,26</w:t>
            </w:r>
          </w:p>
        </w:tc>
      </w:tr>
      <w:tr w:rsidR="00886875" w:rsidRPr="007E7E8E" w14:paraId="40EADB5B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7CA9E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8.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50A8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0E17C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-придбання обладнання і предметів довгострокового використання</w:t>
            </w:r>
          </w:p>
          <w:p w14:paraId="23373E18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5F5B7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01C8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3904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93E6B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C05CC6C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1652200</w:t>
            </w:r>
          </w:p>
          <w:p w14:paraId="758026F2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2F857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7FDE072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3C481EA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1542200</w:t>
            </w:r>
          </w:p>
          <w:p w14:paraId="24B8AA7A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+110000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0D433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9861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</w:tr>
      <w:tr w:rsidR="00886875" w:rsidRPr="007E7E8E" w14:paraId="784EFB68" w14:textId="77777777" w:rsidTr="00444093">
        <w:trPr>
          <w:trHeight w:val="2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DFD37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9.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7E194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59FE4" w14:textId="77777777" w:rsidR="00886875" w:rsidRPr="007E7E8E" w:rsidRDefault="00886875" w:rsidP="00886875">
            <w:pPr>
              <w:pStyle w:val="11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Капітальний ремонт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3BF5A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0AB2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2A74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57F370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2BC5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3FA05FB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26C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158F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</w:tr>
      <w:tr w:rsidR="00886875" w:rsidRPr="007E7E8E" w14:paraId="2309F39F" w14:textId="77777777" w:rsidTr="00444093">
        <w:trPr>
          <w:trHeight w:hRule="exact" w:val="287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FB26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BE95E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РАЗОМ: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48DB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AC21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13120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668E0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19395523,26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22176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19174416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A554E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755F9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221107,26</w:t>
            </w:r>
          </w:p>
        </w:tc>
      </w:tr>
    </w:tbl>
    <w:p w14:paraId="38A5948C" w14:textId="77777777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569910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19 174 416,00 грн.</w:t>
      </w:r>
    </w:p>
    <w:p w14:paraId="433ABCD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       19 174 416,00 грн.</w:t>
      </w:r>
    </w:p>
    <w:p w14:paraId="3F6AC577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E2645C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7E7E8E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7E7E8E">
        <w:rPr>
          <w:rFonts w:ascii="Century" w:eastAsia="Courier New" w:hAnsi="Century"/>
          <w:color w:val="000000"/>
          <w:lang w:eastAsia="en-US"/>
        </w:rPr>
        <w:t xml:space="preserve"> ОТГ становлять 221 107,26грн. </w:t>
      </w:r>
    </w:p>
    <w:p w14:paraId="43407FF9" w14:textId="1D4F3A62" w:rsidR="00696FF9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221 107,26 грн.</w:t>
      </w:r>
    </w:p>
    <w:p w14:paraId="0972AEC2" w14:textId="77777777" w:rsidR="00696FF9" w:rsidRPr="007E7E8E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FA7088B" w14:textId="63E34B60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7E7E8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980770F" w14:textId="77777777" w:rsidR="00F95E6E" w:rsidRPr="007E7E8E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14:paraId="7C1967F1" w14:textId="3DB44B37" w:rsidR="00F95E6E" w:rsidRPr="007E7E8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F95E6E" w:rsidRPr="007E7E8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4244" w14:textId="77777777" w:rsidR="002279C9" w:rsidRDefault="002279C9" w:rsidP="00B45203">
      <w:r>
        <w:separator/>
      </w:r>
    </w:p>
  </w:endnote>
  <w:endnote w:type="continuationSeparator" w:id="0">
    <w:p w14:paraId="6F9A490D" w14:textId="77777777" w:rsidR="002279C9" w:rsidRDefault="002279C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CB87" w14:textId="77777777" w:rsidR="002279C9" w:rsidRDefault="002279C9" w:rsidP="00B45203">
      <w:r>
        <w:separator/>
      </w:r>
    </w:p>
  </w:footnote>
  <w:footnote w:type="continuationSeparator" w:id="0">
    <w:p w14:paraId="225DBC78" w14:textId="77777777" w:rsidR="002279C9" w:rsidRDefault="002279C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279C9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D7961"/>
    <w:rsid w:val="003E75B8"/>
    <w:rsid w:val="003F2640"/>
    <w:rsid w:val="00430834"/>
    <w:rsid w:val="00431C50"/>
    <w:rsid w:val="0043682A"/>
    <w:rsid w:val="00444093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E7E8E"/>
    <w:rsid w:val="007F1CDC"/>
    <w:rsid w:val="00815F6C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6EDC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95E6E"/>
    <w:rsid w:val="00FB6AC2"/>
    <w:rsid w:val="00FB7A25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2456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2021-06-11T11:58:00Z</cp:lastPrinted>
  <dcterms:created xsi:type="dcterms:W3CDTF">2023-10-19T10:32:00Z</dcterms:created>
  <dcterms:modified xsi:type="dcterms:W3CDTF">2023-10-19T10:47:00Z</dcterms:modified>
</cp:coreProperties>
</file>